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915" w:type="dxa"/>
        <w:tblInd w:w="-1281" w:type="dxa"/>
        <w:tblLook w:val="04A0" w:firstRow="1" w:lastRow="0" w:firstColumn="1" w:lastColumn="0" w:noHBand="0" w:noVBand="1"/>
      </w:tblPr>
      <w:tblGrid>
        <w:gridCol w:w="10915"/>
      </w:tblGrid>
      <w:tr w:rsidR="00317ADF" w:rsidRPr="00735701" w14:paraId="12354AE8" w14:textId="77777777" w:rsidTr="0061546B">
        <w:tc>
          <w:tcPr>
            <w:tcW w:w="10915" w:type="dxa"/>
          </w:tcPr>
          <w:p w14:paraId="0D7D1257" w14:textId="77777777" w:rsidR="00746A1F" w:rsidRPr="00735701" w:rsidRDefault="00746A1F" w:rsidP="00920673">
            <w:pPr>
              <w:jc w:val="center"/>
              <w:rPr>
                <w:rFonts w:ascii="Arial" w:hAnsi="Arial" w:cs="Arial"/>
                <w:bCs/>
                <w:iCs/>
                <w:lang w:val="es-ES"/>
              </w:rPr>
            </w:pPr>
            <w:r w:rsidRPr="00317ADF">
              <w:rPr>
                <w:rFonts w:ascii="Arial" w:hAnsi="Arial" w:cs="Arial"/>
                <w:b/>
                <w:sz w:val="24"/>
                <w:szCs w:val="24"/>
              </w:rPr>
              <w:t>10.- Fase de Comunicación</w:t>
            </w:r>
          </w:p>
        </w:tc>
      </w:tr>
      <w:tr w:rsidR="00317ADF" w:rsidRPr="00735701" w14:paraId="0B43015B" w14:textId="77777777" w:rsidTr="00981F35">
        <w:tc>
          <w:tcPr>
            <w:tcW w:w="10915" w:type="dxa"/>
          </w:tcPr>
          <w:p w14:paraId="1D65E1B8" w14:textId="17B23114" w:rsidR="00F47D80" w:rsidRPr="00317ADF" w:rsidRDefault="00317ADF" w:rsidP="0092067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AD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F2673C1" wp14:editId="7B6458F1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316230</wp:posOffset>
                  </wp:positionV>
                  <wp:extent cx="5666740" cy="3185795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94" y="21441"/>
                      <wp:lineTo x="21494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40" cy="318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D80" w:rsidRPr="00317ADF">
              <w:rPr>
                <w:rFonts w:ascii="Arial" w:hAnsi="Arial" w:cs="Arial"/>
                <w:b/>
                <w:bCs/>
                <w:sz w:val="24"/>
                <w:szCs w:val="24"/>
              </w:rPr>
              <w:t>10.1.-Power Point</w:t>
            </w:r>
          </w:p>
          <w:p w14:paraId="1E0B14D2" w14:textId="2BE1FCF6" w:rsidR="00F47D80" w:rsidRDefault="00F47D80" w:rsidP="00920673">
            <w:pPr>
              <w:jc w:val="both"/>
              <w:rPr>
                <w:rFonts w:ascii="Arial" w:hAnsi="Arial" w:cs="Arial"/>
                <w:b/>
                <w:bCs/>
                <w:iCs/>
                <w:lang w:val="es-ES"/>
              </w:rPr>
            </w:pPr>
          </w:p>
          <w:p w14:paraId="3B56099F" w14:textId="5EE13E43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C622397" w14:textId="105B7D7C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50B4B56" w14:textId="7FF148D6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6A34414" w14:textId="29F0A8C3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7350AECA" w14:textId="3760EFA6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53F62F15" w14:textId="5A977BF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0E33925B" w14:textId="4E3EB870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03343FA7" w14:textId="31EED473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29C5DC4A" w14:textId="408D1B32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00F0210F" w14:textId="1618BC04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4CABEA9C" w14:textId="2A55B528" w:rsidR="00F47D80" w:rsidRPr="00F47D80" w:rsidRDefault="00317ADF" w:rsidP="00F47D80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75052100" wp14:editId="5A6A629B">
                  <wp:simplePos x="0" y="0"/>
                  <wp:positionH relativeFrom="column">
                    <wp:posOffset>100111</wp:posOffset>
                  </wp:positionH>
                  <wp:positionV relativeFrom="page">
                    <wp:posOffset>3996887</wp:posOffset>
                  </wp:positionV>
                  <wp:extent cx="5723255" cy="3217545"/>
                  <wp:effectExtent l="0" t="0" r="0" b="1905"/>
                  <wp:wrapTight wrapText="bothSides">
                    <wp:wrapPolygon edited="0">
                      <wp:start x="0" y="0"/>
                      <wp:lineTo x="0" y="21485"/>
                      <wp:lineTo x="21497" y="21485"/>
                      <wp:lineTo x="214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321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C79D95" w14:textId="7777777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7F4B4AB" w14:textId="7777777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0E4FE446" w14:textId="7777777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6379C0F" w14:textId="7777777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3147B7BF" w14:textId="7777777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4A8F48E2" w14:textId="0A54B7EE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76FA9B33" w14:textId="55D32EE7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156FA77A" w14:textId="044828A1" w:rsidR="00F47D80" w:rsidRPr="00F47D80" w:rsidRDefault="00F47D80" w:rsidP="00F47D80">
            <w:pPr>
              <w:rPr>
                <w:rFonts w:ascii="Arial" w:hAnsi="Arial" w:cs="Arial"/>
                <w:lang w:val="es-ES"/>
              </w:rPr>
            </w:pPr>
          </w:p>
          <w:p w14:paraId="6D5E325A" w14:textId="6D9C4DF8" w:rsidR="00F47D80" w:rsidRDefault="00F47D80" w:rsidP="00F47D80">
            <w:pPr>
              <w:rPr>
                <w:rFonts w:ascii="Arial" w:hAnsi="Arial" w:cs="Arial"/>
                <w:b/>
                <w:bCs/>
                <w:iCs/>
                <w:lang w:val="es-ES"/>
              </w:rPr>
            </w:pPr>
          </w:p>
          <w:p w14:paraId="196EDECE" w14:textId="791B01A0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67D86C38" w14:textId="69FDB65C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03370EBC" w14:textId="0F612938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269F4AC3" w14:textId="77777777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9029D93" w14:textId="1D8D8A56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1920D28F" w14:textId="1715E0C4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E0A6E3B" wp14:editId="697869A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102235</wp:posOffset>
                  </wp:positionV>
                  <wp:extent cx="4776470" cy="2684780"/>
                  <wp:effectExtent l="0" t="0" r="5080" b="1270"/>
                  <wp:wrapTight wrapText="bothSides">
                    <wp:wrapPolygon edited="0">
                      <wp:start x="0" y="0"/>
                      <wp:lineTo x="0" y="21457"/>
                      <wp:lineTo x="21537" y="21457"/>
                      <wp:lineTo x="21537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470" cy="268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F7110" w14:textId="5DCBF098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45F8DDFC" w14:textId="51BE7FEE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0BEE5193" w14:textId="77777777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E72277A" w14:textId="49F2A364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1D441F46" w14:textId="7AA24244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4CB63EF3" w14:textId="2A181EF0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5CE23F6" w14:textId="16096E59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0A158C62" w14:textId="70710817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4F402E4E" w14:textId="3B503F82" w:rsidR="00F47D80" w:rsidRDefault="00317ADF" w:rsidP="00F47D8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33A1E00F" wp14:editId="4164B2A5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2893060</wp:posOffset>
                  </wp:positionV>
                  <wp:extent cx="4824095" cy="27114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95" y="21398"/>
                      <wp:lineTo x="21495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71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721DF" w14:textId="5AD8CB1C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F9B3D3F" w14:textId="77777777" w:rsidR="00317ADF" w:rsidRDefault="00317ADF" w:rsidP="00F47D80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734B9FAB" w14:textId="30FDF27D" w:rsidR="00F47D80" w:rsidRDefault="00F47D80" w:rsidP="00F47D8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2B2D19" wp14:editId="4B3A0469">
                      <wp:extent cx="307975" cy="307975"/>
                      <wp:effectExtent l="0" t="0" r="0" b="0"/>
                      <wp:docPr id="11" name="Rectángulo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2ACDB" id="Rectángulo 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ACQrPa8QEAAMgDAAAOAAAAAAAAAAAAAAAAAC4CAABkcnMvZTJvRG9j&#10;LnhtbFBLAQItABQABgAIAAAAIQDyXa4d2QAAAAMBAAAPAAAAAAAAAAAAAAAAAEsEAABkcnMvZG93&#10;bnJldi54bWxQSwUGAAAAAAQABADzAAAAU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49B62F6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5E244CE5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66790C37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5B458407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78BEE2FA" w14:textId="194C6374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0EB11A27" wp14:editId="6E1FCDAD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5699125</wp:posOffset>
                  </wp:positionV>
                  <wp:extent cx="4824095" cy="271208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95" y="21393"/>
                      <wp:lineTo x="21495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71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18923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20AB71D6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299C6021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51F146C2" w14:textId="77777777" w:rsidR="00317ADF" w:rsidRP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64769BB7" w14:textId="77777777" w:rsid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0CC0D907" w14:textId="77777777" w:rsidR="00317ADF" w:rsidRDefault="00317ADF" w:rsidP="00317ADF">
            <w:pPr>
              <w:rPr>
                <w:rFonts w:ascii="Arial" w:hAnsi="Arial" w:cs="Arial"/>
                <w:lang w:val="es-ES"/>
              </w:rPr>
            </w:pPr>
          </w:p>
          <w:p w14:paraId="475C0DC2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64FE0648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60D5F5C9" w14:textId="3188B7C0" w:rsidR="00317ADF" w:rsidRP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17ADF" w:rsidRPr="00735701" w14:paraId="6BD3512C" w14:textId="77777777" w:rsidTr="00317ADF">
        <w:trPr>
          <w:trHeight w:val="4819"/>
        </w:trPr>
        <w:tc>
          <w:tcPr>
            <w:tcW w:w="10915" w:type="dxa"/>
          </w:tcPr>
          <w:p w14:paraId="74CF2E3C" w14:textId="0BE40646" w:rsidR="00317ADF" w:rsidRDefault="00317ADF" w:rsidP="0092067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2D06D521" wp14:editId="3B8A230D">
                  <wp:simplePos x="0" y="0"/>
                  <wp:positionH relativeFrom="column">
                    <wp:posOffset>417808</wp:posOffset>
                  </wp:positionH>
                  <wp:positionV relativeFrom="page">
                    <wp:posOffset>275897</wp:posOffset>
                  </wp:positionV>
                  <wp:extent cx="4996815" cy="280924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493" y="21385"/>
                      <wp:lineTo x="21493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815" cy="280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10.2.-Las evidencias </w:t>
            </w:r>
          </w:p>
          <w:p w14:paraId="227BF3E3" w14:textId="7CD721B7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E3B8B" w14:textId="0208BA00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5838BD" w14:textId="3EB6042C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328665" w14:textId="54D3AD7F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53B9E2" w14:textId="3F262DF7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209CAE" w14:textId="01C12001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F8D8F0" w14:textId="46B722C4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0F03C0" w14:textId="01E3C8C5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83CB8E" w14:textId="69ACFCC7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494A2C" w14:textId="1E2DA4E4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24435A" w14:textId="2B7600CC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4693DE" w14:textId="69100BBF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F350C" w14:textId="0F22D97D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FE58DE" w14:textId="26A408ED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F7427D" w14:textId="46F09245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059F57" w14:textId="47BEAFF6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7144A9" w14:textId="516CBFEF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C15594" w14:textId="68FCE7A1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4EF5A9" w14:textId="75333CFE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B7CBFE" w14:textId="77777777" w:rsidR="00317ADF" w:rsidRPr="00317ADF" w:rsidRDefault="00317ADF" w:rsidP="00317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7C9A97" w14:textId="77777777" w:rsidR="00317ADF" w:rsidRDefault="00317ADF" w:rsidP="0092067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E1DDD51" wp14:editId="672E1721">
                  <wp:simplePos x="0" y="0"/>
                  <wp:positionH relativeFrom="column">
                    <wp:posOffset>339462</wp:posOffset>
                  </wp:positionH>
                  <wp:positionV relativeFrom="page">
                    <wp:posOffset>6041894</wp:posOffset>
                  </wp:positionV>
                  <wp:extent cx="5039667" cy="2833006"/>
                  <wp:effectExtent l="0" t="0" r="8890" b="5715"/>
                  <wp:wrapTight wrapText="bothSides">
                    <wp:wrapPolygon edited="0">
                      <wp:start x="0" y="0"/>
                      <wp:lineTo x="0" y="21498"/>
                      <wp:lineTo x="21556" y="21498"/>
                      <wp:lineTo x="21556" y="0"/>
                      <wp:lineTo x="0" y="0"/>
                    </wp:wrapPolygon>
                  </wp:wrapTight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113" cy="283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BB42CCB" wp14:editId="4B31C05F">
                  <wp:simplePos x="0" y="0"/>
                  <wp:positionH relativeFrom="column">
                    <wp:posOffset>386715</wp:posOffset>
                  </wp:positionH>
                  <wp:positionV relativeFrom="page">
                    <wp:posOffset>3161358</wp:posOffset>
                  </wp:positionV>
                  <wp:extent cx="4992370" cy="280606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512" y="21409"/>
                      <wp:lineTo x="21512" y="0"/>
                      <wp:lineTo x="0" y="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370" cy="280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779F52" w14:textId="77777777" w:rsidR="00317ADF" w:rsidRDefault="00317ADF" w:rsidP="00317A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DDD117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34578E8D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317FD600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3F2BA79F" w14:textId="61136E66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7BB4656" w14:textId="45D16726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931CF60" wp14:editId="39F53B47">
                  <wp:simplePos x="0" y="0"/>
                  <wp:positionH relativeFrom="column">
                    <wp:posOffset>828127</wp:posOffset>
                  </wp:positionH>
                  <wp:positionV relativeFrom="page">
                    <wp:posOffset>157655</wp:posOffset>
                  </wp:positionV>
                  <wp:extent cx="4792717" cy="2694525"/>
                  <wp:effectExtent l="0" t="0" r="8255" b="0"/>
                  <wp:wrapTight wrapText="bothSides">
                    <wp:wrapPolygon edited="0">
                      <wp:start x="0" y="0"/>
                      <wp:lineTo x="0" y="21381"/>
                      <wp:lineTo x="21551" y="21381"/>
                      <wp:lineTo x="21551" y="0"/>
                      <wp:lineTo x="0" y="0"/>
                    </wp:wrapPolygon>
                  </wp:wrapTight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717" cy="269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FAB1C" w14:textId="4A6F080B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54541EBC" w14:textId="77777777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41E68E33" w14:textId="3BD015C9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6030CD72" w14:textId="359F54B9" w:rsid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6A8783AC" w14:textId="44EA00E3" w:rsidR="00317ADF" w:rsidRPr="00317ADF" w:rsidRDefault="00317ADF" w:rsidP="00317ADF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317ADF" w:rsidRPr="00735701" w14:paraId="63CA1E0B" w14:textId="77777777" w:rsidTr="00714EF8">
        <w:trPr>
          <w:trHeight w:val="4287"/>
        </w:trPr>
        <w:tc>
          <w:tcPr>
            <w:tcW w:w="10915" w:type="dxa"/>
          </w:tcPr>
          <w:p w14:paraId="71814AAF" w14:textId="2785ED8D" w:rsidR="00211A82" w:rsidRPr="00317ADF" w:rsidRDefault="00211A8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10.3.-El costo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86"/>
              <w:gridCol w:w="3586"/>
            </w:tblGrid>
            <w:tr w:rsidR="00211A82" w14:paraId="295CD043" w14:textId="77777777" w:rsidTr="001A7341">
              <w:tc>
                <w:tcPr>
                  <w:tcW w:w="3586" w:type="dxa"/>
                </w:tcPr>
                <w:p w14:paraId="46241340" w14:textId="0E95B831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Concepto</w:t>
                  </w:r>
                </w:p>
              </w:tc>
              <w:tc>
                <w:tcPr>
                  <w:tcW w:w="3586" w:type="dxa"/>
                </w:tcPr>
                <w:p w14:paraId="71035EE8" w14:textId="1A48F6C3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Costo</w:t>
                  </w:r>
                </w:p>
              </w:tc>
            </w:tr>
            <w:tr w:rsidR="00211A82" w14:paraId="3C5372F2" w14:textId="77777777" w:rsidTr="001A7341">
              <w:tc>
                <w:tcPr>
                  <w:tcW w:w="3586" w:type="dxa"/>
                </w:tcPr>
                <w:p w14:paraId="68AE560E" w14:textId="1D368867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Computadora</w:t>
                  </w:r>
                </w:p>
              </w:tc>
              <w:tc>
                <w:tcPr>
                  <w:tcW w:w="3586" w:type="dxa"/>
                </w:tcPr>
                <w:p w14:paraId="03284E60" w14:textId="46B2292C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Ya disponible sin costo adicional</w:t>
                  </w:r>
                </w:p>
              </w:tc>
            </w:tr>
            <w:tr w:rsidR="00211A82" w14:paraId="5C50B37F" w14:textId="77777777" w:rsidTr="001A7341">
              <w:tc>
                <w:tcPr>
                  <w:tcW w:w="3586" w:type="dxa"/>
                </w:tcPr>
                <w:p w14:paraId="686D7EFD" w14:textId="289551A9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Internet</w:t>
                  </w:r>
                </w:p>
              </w:tc>
              <w:tc>
                <w:tcPr>
                  <w:tcW w:w="3586" w:type="dxa"/>
                </w:tcPr>
                <w:p w14:paraId="4BAD8EEB" w14:textId="77393C8B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$200</w:t>
                  </w:r>
                </w:p>
              </w:tc>
            </w:tr>
            <w:tr w:rsidR="00211A82" w14:paraId="1CC810E9" w14:textId="77777777" w:rsidTr="001A7341">
              <w:tc>
                <w:tcPr>
                  <w:tcW w:w="3586" w:type="dxa"/>
                </w:tcPr>
                <w:p w14:paraId="1F02FF15" w14:textId="454B279C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 xml:space="preserve">Uso de </w:t>
                  </w:r>
                  <w:proofErr w:type="spellStart"/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canva</w:t>
                  </w:r>
                  <w:proofErr w:type="spellEnd"/>
                </w:p>
              </w:tc>
              <w:tc>
                <w:tcPr>
                  <w:tcW w:w="3586" w:type="dxa"/>
                </w:tcPr>
                <w:p w14:paraId="51008A57" w14:textId="2F76A023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>
                    <w:rPr>
                      <w:rFonts w:ascii="Arial" w:hAnsi="Arial" w:cs="Arial"/>
                      <w:bCs/>
                      <w:iCs/>
                      <w:lang w:val="es-ES"/>
                    </w:rPr>
                    <w:t>$</w:t>
                  </w: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175</w:t>
                  </w:r>
                </w:p>
              </w:tc>
            </w:tr>
            <w:tr w:rsidR="00211A82" w14:paraId="2DF95EBB" w14:textId="77777777" w:rsidTr="001A7341">
              <w:tc>
                <w:tcPr>
                  <w:tcW w:w="3586" w:type="dxa"/>
                </w:tcPr>
                <w:p w14:paraId="44E2D3AC" w14:textId="45610797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Imágenes</w:t>
                  </w:r>
                </w:p>
              </w:tc>
              <w:tc>
                <w:tcPr>
                  <w:tcW w:w="3586" w:type="dxa"/>
                </w:tcPr>
                <w:p w14:paraId="4CDF4F7D" w14:textId="4274573D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>
                    <w:rPr>
                      <w:rFonts w:ascii="Arial" w:hAnsi="Arial" w:cs="Arial"/>
                      <w:bCs/>
                      <w:iCs/>
                      <w:lang w:val="es-ES"/>
                    </w:rPr>
                    <w:t>$</w:t>
                  </w: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0</w:t>
                  </w:r>
                </w:p>
              </w:tc>
            </w:tr>
            <w:tr w:rsidR="00211A82" w14:paraId="31894030" w14:textId="77777777" w:rsidTr="001A7341">
              <w:tc>
                <w:tcPr>
                  <w:tcW w:w="3586" w:type="dxa"/>
                </w:tcPr>
                <w:p w14:paraId="66ABA1AE" w14:textId="07464B28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Horas de trabajo en equipo</w:t>
                  </w:r>
                </w:p>
              </w:tc>
              <w:tc>
                <w:tcPr>
                  <w:tcW w:w="3586" w:type="dxa"/>
                </w:tcPr>
                <w:p w14:paraId="61666DA5" w14:textId="628DD603" w:rsidR="00211A82" w:rsidRPr="00C03663" w:rsidRDefault="00211A82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  <w:bCs/>
                      <w:iCs/>
                      <w:lang w:val="es-ES"/>
                    </w:rPr>
                    <w:t>No monetarias</w:t>
                  </w:r>
                </w:p>
              </w:tc>
            </w:tr>
            <w:tr w:rsidR="00211A82" w14:paraId="0E8F8FC6" w14:textId="77777777" w:rsidTr="005654F4">
              <w:tc>
                <w:tcPr>
                  <w:tcW w:w="7172" w:type="dxa"/>
                  <w:gridSpan w:val="2"/>
                </w:tcPr>
                <w:p w14:paraId="4A789240" w14:textId="16D48DF9" w:rsidR="00211A82" w:rsidRPr="00C03663" w:rsidRDefault="00317ADF" w:rsidP="009C13CD">
                  <w:pPr>
                    <w:rPr>
                      <w:rFonts w:ascii="Arial" w:hAnsi="Arial" w:cs="Arial"/>
                      <w:bCs/>
                      <w:iCs/>
                      <w:lang w:val="es-ES"/>
                    </w:rPr>
                  </w:pPr>
                  <w:r w:rsidRPr="00C03663">
                    <w:rPr>
                      <w:rFonts w:ascii="Arial" w:hAnsi="Arial" w:cs="Arial"/>
                    </w:rPr>
                    <w:t>Total,</w:t>
                  </w:r>
                  <w:r w:rsidR="00211A82">
                    <w:rPr>
                      <w:rFonts w:ascii="Arial" w:hAnsi="Arial" w:cs="Arial"/>
                    </w:rPr>
                    <w:t xml:space="preserve"> </w:t>
                  </w:r>
                  <w:r w:rsidR="00211A82" w:rsidRPr="00C03663">
                    <w:rPr>
                      <w:rFonts w:ascii="Arial" w:hAnsi="Arial" w:cs="Arial"/>
                    </w:rPr>
                    <w:t>estimado del proyecto:</w:t>
                  </w:r>
                  <w:r w:rsidR="00211A82">
                    <w:rPr>
                      <w:rFonts w:ascii="Arial" w:hAnsi="Arial" w:cs="Arial"/>
                    </w:rPr>
                    <w:t xml:space="preserve"> $</w:t>
                  </w:r>
                  <w:r w:rsidR="00211A82" w:rsidRPr="00C03663">
                    <w:rPr>
                      <w:rFonts w:ascii="Arial" w:hAnsi="Arial" w:cs="Arial"/>
                    </w:rPr>
                    <w:t>375</w:t>
                  </w:r>
                </w:p>
              </w:tc>
            </w:tr>
          </w:tbl>
          <w:p w14:paraId="7154F865" w14:textId="77777777" w:rsidR="00211A82" w:rsidRPr="00735701" w:rsidRDefault="00211A82" w:rsidP="00920673">
            <w:pPr>
              <w:jc w:val="both"/>
              <w:rPr>
                <w:rFonts w:ascii="Arial" w:hAnsi="Arial" w:cs="Arial"/>
                <w:bCs/>
                <w:iCs/>
                <w:lang w:val="es-ES"/>
              </w:rPr>
            </w:pPr>
          </w:p>
        </w:tc>
      </w:tr>
      <w:tr w:rsidR="00317ADF" w:rsidRPr="00735701" w14:paraId="74AA7FC9" w14:textId="77777777" w:rsidTr="002805E2">
        <w:tc>
          <w:tcPr>
            <w:tcW w:w="10915" w:type="dxa"/>
          </w:tcPr>
          <w:p w14:paraId="40049E51" w14:textId="77777777" w:rsidR="00211A82" w:rsidRPr="00317ADF" w:rsidRDefault="00211A82" w:rsidP="0092067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t>10.4.-Fuentes de financiamiento</w:t>
            </w:r>
          </w:p>
          <w:p w14:paraId="3A05DCE0" w14:textId="5CE7B481" w:rsidR="00211A82" w:rsidRP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</w:rPr>
              <w:t>Instituciones de Apoyo para Estudiantes y Emprendedores en Tabasco</w:t>
            </w:r>
          </w:p>
          <w:p w14:paraId="64E24A43" w14:textId="0623D37C" w:rsidR="00211A82" w:rsidRP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</w:rPr>
              <w:t>Apoyo para Estudiantes Universitarios en Tabasco</w:t>
            </w:r>
          </w:p>
          <w:p w14:paraId="585ED848" w14:textId="5F8A3EC7" w:rsidR="00211A82" w:rsidRPr="00211A82" w:rsidRDefault="00211A82" w:rsidP="00211A82">
            <w:pPr>
              <w:pStyle w:val="Prrafodelista"/>
              <w:numPr>
                <w:ilvl w:val="1"/>
                <w:numId w:val="2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Becas Federales (Ope</w:t>
            </w:r>
            <w:r>
              <w:rPr>
                <w:rFonts w:ascii="Arial" w:hAnsi="Arial" w:cs="Arial"/>
                <w:b/>
                <w:bCs/>
              </w:rPr>
              <w:t>rativas en Tabasco)</w:t>
            </w:r>
          </w:p>
          <w:p w14:paraId="499C29B5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Becas Benito Juárez</w:t>
            </w:r>
            <w:r w:rsidRPr="00211A8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(CNBBBJ)</w:t>
            </w:r>
          </w:p>
          <w:p w14:paraId="06F8DFA5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Objetivo</w:t>
            </w:r>
            <w:r>
              <w:rPr>
                <w:rFonts w:ascii="Arial" w:hAnsi="Arial" w:cs="Arial"/>
              </w:rPr>
              <w:t>: Apoyo económico para estudiantes de educación superior en situación de vulnerabilidad.</w:t>
            </w:r>
          </w:p>
          <w:p w14:paraId="14A87D15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gob.mx/</w:t>
            </w:r>
            <w:proofErr w:type="spellStart"/>
            <w:r>
              <w:rPr>
                <w:rFonts w:ascii="Arial" w:hAnsi="Arial" w:cs="Arial"/>
              </w:rPr>
              <w:t>becasbenitojuarez</w:t>
            </w:r>
            <w:proofErr w:type="spellEnd"/>
          </w:p>
          <w:p w14:paraId="1ED354B0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 en Tabasco:</w:t>
            </w:r>
          </w:p>
          <w:p w14:paraId="2C64B769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Boulevard Adolfo Ruiz Cortines s/n, Edificio Plaza Tabasco 2000, Col. Atasta de Serra, Villahermosa, Tabasco. C.P. 86100.</w:t>
            </w:r>
          </w:p>
          <w:p w14:paraId="2EDCF7F5" w14:textId="77777777" w:rsidR="00211A82" w:rsidRP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 w:rsidRPr="00211A82">
              <w:rPr>
                <w:rFonts w:ascii="Arial" w:hAnsi="Arial" w:cs="Arial"/>
                <w:b/>
                <w:bCs/>
              </w:rPr>
              <w:lastRenderedPageBreak/>
              <w:t>Jóvenes Escribiendo el Futuro</w:t>
            </w:r>
          </w:p>
          <w:p w14:paraId="6E215069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Brindar apoyo a estudiantes de educación superior que se encuentren en situación de pobreza o que estudien en localidades de alta marginación.</w:t>
            </w:r>
          </w:p>
          <w:p w14:paraId="63E48014" w14:textId="77777777" w:rsidR="009C13CD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gob.mx/</w:t>
            </w:r>
            <w:proofErr w:type="spellStart"/>
            <w:r>
              <w:rPr>
                <w:rFonts w:ascii="Arial" w:hAnsi="Arial" w:cs="Arial"/>
              </w:rPr>
              <w:t>jovenesconstruyendoelfuturo</w:t>
            </w:r>
            <w:proofErr w:type="spellEnd"/>
          </w:p>
          <w:p w14:paraId="6C4E730E" w14:textId="3BE88FE1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Verificar la vigencia y convocatorias directamente en la página.</w:t>
            </w:r>
          </w:p>
          <w:p w14:paraId="6E61CD48" w14:textId="46FAC865" w:rsidR="00211A82" w:rsidRPr="00211A82" w:rsidRDefault="00211A82" w:rsidP="00211A82">
            <w:pPr>
              <w:pStyle w:val="Prrafodelista"/>
              <w:numPr>
                <w:ilvl w:val="1"/>
                <w:numId w:val="2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Programas Estatales de Becas</w:t>
            </w:r>
          </w:p>
          <w:p w14:paraId="390D44C8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Becas León</w:t>
            </w:r>
            <w:r>
              <w:rPr>
                <w:rFonts w:ascii="Arial" w:hAnsi="Arial" w:cs="Arial"/>
              </w:rPr>
              <w:t xml:space="preserve"> (Gobierno del Estado de Tabasco)</w:t>
            </w:r>
          </w:p>
          <w:p w14:paraId="4D148FC9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Programa estatal de becas para todos los niveles educativos.</w:t>
            </w:r>
          </w:p>
          <w:p w14:paraId="28DCF7C6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Secretaría de Bienestar de Tabasco</w:t>
            </w:r>
          </w:p>
          <w:p w14:paraId="484AED39" w14:textId="1DE69240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Teléfono: 01 800 062 2025</w:t>
            </w:r>
          </w:p>
          <w:p w14:paraId="7D7B8722" w14:textId="77777777" w:rsid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1.3. Apoyo Integral a la Juventud</w:t>
            </w:r>
          </w:p>
          <w:p w14:paraId="06FC24FB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Instituto de la Juventud de Tabasco</w:t>
            </w:r>
            <w:r>
              <w:rPr>
                <w:rFonts w:ascii="Arial" w:hAnsi="Arial" w:cs="Arial"/>
              </w:rPr>
              <w:t xml:space="preserve"> (INJUTAB)</w:t>
            </w:r>
          </w:p>
          <w:p w14:paraId="12236DF4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Ofrece becas, convocatorias para proyectos culturales, deportivos y de emprendimiento juvenil.</w:t>
            </w:r>
          </w:p>
          <w:p w14:paraId="743DE907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tabasco.gob.mx/</w:t>
            </w:r>
            <w:proofErr w:type="spellStart"/>
            <w:r>
              <w:rPr>
                <w:rFonts w:ascii="Arial" w:hAnsi="Arial" w:cs="Arial"/>
              </w:rPr>
              <w:t>injutab</w:t>
            </w:r>
            <w:proofErr w:type="spellEnd"/>
          </w:p>
          <w:p w14:paraId="0621A503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Contacto:</w:t>
            </w:r>
          </w:p>
          <w:p w14:paraId="53C4141E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Prolongación Paseo Usumacinta #703, Col. Atasta, Villahermosa, Tabasco. C.P. 86100.</w:t>
            </w:r>
          </w:p>
          <w:p w14:paraId="2444AD4C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Teléfono: (993) 316 1055 y 316 1056.</w:t>
            </w:r>
          </w:p>
          <w:p w14:paraId="79B913BF" w14:textId="77777777" w:rsid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 Apoyo para Emprender en Tabasco</w:t>
            </w:r>
          </w:p>
          <w:p w14:paraId="4C37901B" w14:textId="77777777" w:rsid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2.1. Instituciones Federales</w:t>
            </w:r>
          </w:p>
          <w:p w14:paraId="0AA03042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Secretaría de Economía</w:t>
            </w:r>
            <w:r>
              <w:rPr>
                <w:rFonts w:ascii="Arial" w:hAnsi="Arial" w:cs="Arial"/>
              </w:rPr>
              <w:t xml:space="preserve"> (antes INADEM)</w:t>
            </w:r>
          </w:p>
          <w:p w14:paraId="3E67FC4A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Convocatorias nacionales de financiamiento, capacitación y vinculación para MIPYMES y emprendedores.</w:t>
            </w:r>
          </w:p>
          <w:p w14:paraId="36467215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gob.mx/se - Programas de Apoyo</w:t>
            </w:r>
          </w:p>
          <w:p w14:paraId="4793693E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Nacional Financiera (NAFIN)</w:t>
            </w:r>
          </w:p>
          <w:p w14:paraId="7D3952A6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Acceso a créditos, fondos de garantía y esquemas de coinversión.</w:t>
            </w:r>
          </w:p>
          <w:p w14:paraId="1B24B66C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nafin.com</w:t>
            </w:r>
          </w:p>
          <w:p w14:paraId="763FEB4C" w14:textId="318566A3" w:rsid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2.2. Instituciones Estatales (Clave para el Emprendedor)</w:t>
            </w:r>
          </w:p>
          <w:p w14:paraId="198613B2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Instituto de Apoyo al Emprendedor de Tabasco</w:t>
            </w:r>
            <w:r>
              <w:rPr>
                <w:rFonts w:ascii="Arial" w:hAnsi="Arial" w:cs="Arial"/>
              </w:rPr>
              <w:t xml:space="preserve"> (IAET)</w:t>
            </w:r>
          </w:p>
          <w:p w14:paraId="69F73D37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Capacitación, incubación, asesoría, vinculación y acceso a capital semilla.</w:t>
            </w:r>
          </w:p>
          <w:p w14:paraId="56A96416" w14:textId="07EB53B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Fuente Oficial: tabasco.gob.mx/</w:t>
            </w:r>
            <w:proofErr w:type="spellStart"/>
            <w:r>
              <w:rPr>
                <w:rFonts w:ascii="Arial" w:hAnsi="Arial" w:cs="Arial"/>
              </w:rPr>
              <w:t>iaet</w:t>
            </w:r>
            <w:proofErr w:type="spellEnd"/>
          </w:p>
          <w:p w14:paraId="3B719734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Contacto:</w:t>
            </w:r>
          </w:p>
          <w:p w14:paraId="0FC27F5C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Calle Narciso Sáenz #216, Col. Centro, Villahermosa, Tabasco. C.P. 86000.</w:t>
            </w:r>
          </w:p>
          <w:p w14:paraId="339C9B41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Teléfono: (993) 314 5560.</w:t>
            </w:r>
          </w:p>
          <w:p w14:paraId="19FCD43F" w14:textId="77777777" w:rsidR="00211A82" w:rsidRDefault="00211A82" w:rsidP="00211A82">
            <w:pPr>
              <w:rPr>
                <w:rFonts w:ascii="Arial" w:hAnsi="Arial" w:cs="Arial"/>
              </w:rPr>
            </w:pPr>
            <w:r w:rsidRPr="00211A82">
              <w:rPr>
                <w:rFonts w:ascii="Arial" w:hAnsi="Arial" w:cs="Arial"/>
                <w:b/>
                <w:bCs/>
              </w:rPr>
              <w:t>Fideicomiso de Fomento para el Desarrollo de Tabasco</w:t>
            </w:r>
            <w:r>
              <w:rPr>
                <w:rFonts w:ascii="Arial" w:hAnsi="Arial" w:cs="Arial"/>
              </w:rPr>
              <w:t xml:space="preserve"> (FIDETAB)</w:t>
            </w:r>
          </w:p>
          <w:p w14:paraId="1367413E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Objetivo: Financiamiento y garantías para proyectos productivos y de desarrollo económico estatal.</w:t>
            </w:r>
          </w:p>
          <w:p w14:paraId="7B3E9E84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tabasco.gob.mx/</w:t>
            </w:r>
            <w:proofErr w:type="spellStart"/>
            <w:r>
              <w:rPr>
                <w:rFonts w:ascii="Arial" w:hAnsi="Arial" w:cs="Arial"/>
              </w:rPr>
              <w:t>fidetab</w:t>
            </w:r>
            <w:proofErr w:type="spellEnd"/>
          </w:p>
          <w:p w14:paraId="2C543A98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Contacto:</w:t>
            </w:r>
          </w:p>
          <w:p w14:paraId="3658B0D0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Av. Paseo Tabasco #1208, Col. Tabasco 2000, Villahermosa, Tabasco.</w:t>
            </w:r>
          </w:p>
          <w:p w14:paraId="0383DC01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2.3. Banca de Desarrollo</w:t>
            </w:r>
          </w:p>
          <w:p w14:paraId="749BCDEE" w14:textId="77777777" w:rsidR="00211A82" w:rsidRP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 w:rsidRPr="00211A82">
              <w:rPr>
                <w:rFonts w:ascii="Arial" w:hAnsi="Arial" w:cs="Arial"/>
                <w:b/>
                <w:bCs/>
              </w:rPr>
              <w:t>Banco del Bienestar</w:t>
            </w:r>
          </w:p>
          <w:p w14:paraId="18380CD0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Objetivo: Servicios bancarios básicos y canalización de programas de apoyo social y </w:t>
            </w:r>
            <w:proofErr w:type="spellStart"/>
            <w:r>
              <w:rPr>
                <w:rFonts w:ascii="Arial" w:hAnsi="Arial" w:cs="Arial"/>
              </w:rPr>
              <w:t>microfinanciamiento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39504A06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Oficial: gob.mx/</w:t>
            </w:r>
            <w:proofErr w:type="spellStart"/>
            <w:r>
              <w:rPr>
                <w:rFonts w:ascii="Arial" w:hAnsi="Arial" w:cs="Arial"/>
              </w:rPr>
              <w:t>bancodelbienestar</w:t>
            </w:r>
            <w:proofErr w:type="spellEnd"/>
          </w:p>
          <w:p w14:paraId="5834A670" w14:textId="77777777" w:rsidR="00211A82" w:rsidRDefault="00211A82" w:rsidP="00211A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Contacto: Múltiples sucursales en Villahermosa y el estado.</w:t>
            </w:r>
          </w:p>
          <w:p w14:paraId="76E203DB" w14:textId="77777777" w:rsidR="00211A82" w:rsidRPr="00211A82" w:rsidRDefault="00211A82" w:rsidP="00211A82">
            <w:pPr>
              <w:rPr>
                <w:rFonts w:ascii="Arial" w:hAnsi="Arial" w:cs="Arial"/>
                <w:b/>
                <w:bCs/>
              </w:rPr>
            </w:pPr>
            <w:r w:rsidRPr="00211A82">
              <w:rPr>
                <w:rFonts w:ascii="Arial" w:hAnsi="Arial" w:cs="Arial"/>
                <w:b/>
                <w:bCs/>
              </w:rPr>
              <w:t>Referencias</w:t>
            </w:r>
          </w:p>
          <w:p w14:paraId="57BADB59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Coordinación Nacional de Becas para el Bienestar Benito Juárez. (2024). Becas Benito Juárez. Gobierno de México. </w:t>
            </w:r>
            <w:hyperlink r:id="rId14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https://www.gob.mx/becasbenitojuarez</w:t>
              </w:r>
            </w:hyperlink>
          </w:p>
          <w:p w14:paraId="367DC9A9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Gobierno del Estado de Tabasco. (2024). Instituto de Apoyo al Emprendedor de Tabasco (IAET). </w:t>
            </w:r>
            <w:hyperlink r:id="rId15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https://www.tabasco.gob.mx/iaet</w:t>
              </w:r>
            </w:hyperlink>
          </w:p>
          <w:p w14:paraId="12AE3A8E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Gobierno del Estado de Tabasco. (2024). Instituto de la Juventud de Tabasco (INJUTAB). </w:t>
            </w:r>
            <w:hyperlink r:id="rId16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https://www.tabasco.gob.mx/injutab</w:t>
              </w:r>
            </w:hyperlink>
          </w:p>
          <w:p w14:paraId="41090B1D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Gobierno del Estado de Tabasco. (2024). Fideicomiso de Fomento para el Desarrollo de Tabasco (FIDETAB). </w:t>
            </w:r>
            <w:hyperlink r:id="rId17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https://www.tabasco.gob.mx/fidetab</w:t>
              </w:r>
            </w:hyperlink>
          </w:p>
          <w:p w14:paraId="12FC33DA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Gobierno del Estado de Tabasco. (2024). Secretaría de Bienestar, Sustentabilidad y Cambio Climático. </w:t>
            </w:r>
            <w:hyperlink r:id="rId18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https://www.tabasco.gob.mx/bienestar/convocatorias</w:t>
              </w:r>
            </w:hyperlink>
          </w:p>
          <w:p w14:paraId="705DDD47" w14:textId="77777777" w:rsidR="00211A82" w:rsidRPr="009C13CD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Secretaría de Economía. (2024). Programas de apoyo a las MIPYMES. Gobierno de México. </w:t>
            </w:r>
            <w:hyperlink r:id="rId19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https://www.gob.mx/se/acciones-y-programas/programas-de-apoyo-a-las-mipymes</w:t>
              </w:r>
            </w:hyperlink>
          </w:p>
          <w:p w14:paraId="19748F43" w14:textId="77777777" w:rsidR="00211A82" w:rsidRDefault="00211A82" w:rsidP="00211A82">
            <w:pPr>
              <w:rPr>
                <w:rFonts w:ascii="Times New Roman" w:hAnsi="Times New Roman" w:cs="Times New Roman"/>
              </w:rPr>
            </w:pPr>
            <w:r w:rsidRPr="009C13CD">
              <w:rPr>
                <w:rFonts w:ascii="Times New Roman" w:hAnsi="Times New Roman" w:cs="Times New Roman"/>
              </w:rPr>
              <w:t xml:space="preserve">Secretaría del Trabajo y Previsión Social. (2024). Jóvenes Construyendo el Futuro. Gobierno de México. </w:t>
            </w:r>
            <w:hyperlink r:id="rId20" w:history="1">
              <w:r w:rsidRPr="009C13CD">
                <w:rPr>
                  <w:rStyle w:val="Hipervnculo"/>
                  <w:rFonts w:ascii="Times New Roman" w:hAnsi="Times New Roman" w:cs="Times New Roman"/>
                </w:rPr>
                <w:t>https://www.gob.mx/jovenesconstruyendoelfuturo</w:t>
              </w:r>
            </w:hyperlink>
          </w:p>
          <w:p w14:paraId="12203F39" w14:textId="77777777" w:rsidR="006C3E8C" w:rsidRDefault="006C3E8C" w:rsidP="00211A82">
            <w:pPr>
              <w:rPr>
                <w:rFonts w:ascii="Times New Roman" w:hAnsi="Times New Roman" w:cs="Times New Roman"/>
              </w:rPr>
            </w:pPr>
          </w:p>
          <w:p w14:paraId="0F135B84" w14:textId="27A8CF2A" w:rsidR="006C3E8C" w:rsidRPr="00211A82" w:rsidRDefault="006C3E8C" w:rsidP="00211A82">
            <w:pPr>
              <w:rPr>
                <w:rFonts w:ascii="Arial" w:hAnsi="Arial" w:cs="Arial"/>
              </w:rPr>
            </w:pPr>
          </w:p>
        </w:tc>
      </w:tr>
      <w:tr w:rsidR="00317ADF" w:rsidRPr="00735701" w14:paraId="45FD62F5" w14:textId="77777777" w:rsidTr="00504E09">
        <w:tc>
          <w:tcPr>
            <w:tcW w:w="10915" w:type="dxa"/>
          </w:tcPr>
          <w:p w14:paraId="10E3316F" w14:textId="77777777" w:rsidR="009C13CD" w:rsidRPr="00317ADF" w:rsidRDefault="009C13CD" w:rsidP="0092067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10.5.-El impacto </w:t>
            </w:r>
          </w:p>
          <w:p w14:paraId="58253A83" w14:textId="24FCB868" w:rsidR="00D02FB6" w:rsidRPr="00D02FB6" w:rsidRDefault="00D02FB6" w:rsidP="00D02FB6">
            <w:pPr>
              <w:pStyle w:val="Ttulo3"/>
              <w:rPr>
                <w:rFonts w:ascii="Arial" w:eastAsia="Times New Roman" w:hAnsi="Arial" w:cs="Arial"/>
                <w:color w:val="auto"/>
                <w:lang w:val="es-419" w:eastAsia="es-419"/>
              </w:rPr>
            </w:pPr>
            <w:r w:rsidRPr="00D02FB6">
              <w:rPr>
                <w:rStyle w:val="Textoennegrita"/>
                <w:rFonts w:ascii="Arial" w:hAnsi="Arial" w:cs="Arial"/>
                <w:b w:val="0"/>
                <w:bCs w:val="0"/>
                <w:color w:val="auto"/>
              </w:rPr>
              <w:t>Corto plazo:</w:t>
            </w:r>
          </w:p>
          <w:p w14:paraId="2742A5EF" w14:textId="77777777" w:rsidR="00D02FB6" w:rsidRPr="00D02FB6" w:rsidRDefault="00D02FB6" w:rsidP="00D02FB6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Incremento del interés de estudiantes en temas básicos de Derecho.</w:t>
            </w:r>
          </w:p>
          <w:p w14:paraId="42E47C58" w14:textId="77777777" w:rsidR="00D02FB6" w:rsidRPr="00D02FB6" w:rsidRDefault="00D02FB6" w:rsidP="00D02FB6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Creación de un espacio confiable con publicaciones claras y visuales.</w:t>
            </w:r>
          </w:p>
          <w:p w14:paraId="5283107D" w14:textId="77777777" w:rsidR="00D02FB6" w:rsidRPr="00D02FB6" w:rsidRDefault="00D02FB6" w:rsidP="00D02FB6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 xml:space="preserve">Interacción inicial con usuarios mediante </w:t>
            </w:r>
            <w:proofErr w:type="spellStart"/>
            <w:r w:rsidRPr="00D02FB6">
              <w:rPr>
                <w:rFonts w:ascii="Arial" w:hAnsi="Arial" w:cs="Arial"/>
              </w:rPr>
              <w:t>likes</w:t>
            </w:r>
            <w:proofErr w:type="spellEnd"/>
            <w:r w:rsidRPr="00D02FB6">
              <w:rPr>
                <w:rFonts w:ascii="Arial" w:hAnsi="Arial" w:cs="Arial"/>
              </w:rPr>
              <w:t xml:space="preserve"> y comentarios.</w:t>
            </w:r>
          </w:p>
          <w:p w14:paraId="091C610F" w14:textId="6D546202" w:rsidR="00D02FB6" w:rsidRPr="00D02FB6" w:rsidRDefault="00D02FB6" w:rsidP="00D02FB6">
            <w:pPr>
              <w:pStyle w:val="Ttulo3"/>
              <w:rPr>
                <w:rFonts w:ascii="Arial" w:hAnsi="Arial" w:cs="Arial"/>
                <w:color w:val="auto"/>
              </w:rPr>
            </w:pPr>
            <w:r w:rsidRPr="00D02FB6">
              <w:rPr>
                <w:rStyle w:val="Textoennegrita"/>
                <w:rFonts w:ascii="Arial" w:hAnsi="Arial" w:cs="Arial"/>
                <w:b w:val="0"/>
                <w:bCs w:val="0"/>
                <w:color w:val="auto"/>
              </w:rPr>
              <w:t>Mediano plazo:</w:t>
            </w:r>
          </w:p>
          <w:p w14:paraId="20C4212B" w14:textId="77777777" w:rsidR="00D02FB6" w:rsidRPr="00D02FB6" w:rsidRDefault="00D02FB6" w:rsidP="00D02FB6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Consolidación de la página como medio accesible para aprender Derecho.</w:t>
            </w:r>
          </w:p>
          <w:p w14:paraId="1F392240" w14:textId="77777777" w:rsidR="00D02FB6" w:rsidRPr="00D02FB6" w:rsidRDefault="00D02FB6" w:rsidP="00D02FB6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Incremento del alcance gracias a la publicación constante.</w:t>
            </w:r>
          </w:p>
          <w:p w14:paraId="6DE3AA7E" w14:textId="77777777" w:rsidR="00D02FB6" w:rsidRPr="00D02FB6" w:rsidRDefault="00D02FB6" w:rsidP="00D02FB6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Posibilidad de que estudiantes de otros semestres consulten los materiales.</w:t>
            </w:r>
          </w:p>
          <w:p w14:paraId="52109B49" w14:textId="372DF7D6" w:rsidR="00D02FB6" w:rsidRPr="00D02FB6" w:rsidRDefault="00D02FB6" w:rsidP="00D02FB6">
            <w:pPr>
              <w:pStyle w:val="Ttulo3"/>
              <w:rPr>
                <w:rFonts w:ascii="Arial" w:hAnsi="Arial" w:cs="Arial"/>
                <w:color w:val="auto"/>
              </w:rPr>
            </w:pPr>
            <w:r w:rsidRPr="00D02FB6">
              <w:rPr>
                <w:rStyle w:val="Textoennegrita"/>
                <w:rFonts w:ascii="Arial" w:hAnsi="Arial" w:cs="Arial"/>
                <w:b w:val="0"/>
                <w:bCs w:val="0"/>
                <w:color w:val="auto"/>
              </w:rPr>
              <w:t>Largo plazo:</w:t>
            </w:r>
          </w:p>
          <w:p w14:paraId="62220E91" w14:textId="77777777" w:rsidR="00D02FB6" w:rsidRPr="00D02FB6" w:rsidRDefault="00D02FB6" w:rsidP="00D02FB6">
            <w:pPr>
              <w:pStyle w:val="NormalWeb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Convertirse en un referente local de divulgación jurídica para jóvenes.</w:t>
            </w:r>
          </w:p>
          <w:p w14:paraId="4F95C2B7" w14:textId="77777777" w:rsidR="00D02FB6" w:rsidRPr="00D02FB6" w:rsidRDefault="00D02FB6" w:rsidP="00D02FB6">
            <w:pPr>
              <w:pStyle w:val="NormalWeb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 xml:space="preserve">Expansión hacia otros formatos: videos más elaborados, infografías y </w:t>
            </w:r>
            <w:proofErr w:type="spellStart"/>
            <w:r w:rsidRPr="00D02FB6">
              <w:rPr>
                <w:rFonts w:ascii="Arial" w:hAnsi="Arial" w:cs="Arial"/>
              </w:rPr>
              <w:t>mini-cápsulas</w:t>
            </w:r>
            <w:proofErr w:type="spellEnd"/>
            <w:r w:rsidRPr="00D02FB6">
              <w:rPr>
                <w:rFonts w:ascii="Arial" w:hAnsi="Arial" w:cs="Arial"/>
              </w:rPr>
              <w:t xml:space="preserve"> jurídicas.</w:t>
            </w:r>
          </w:p>
          <w:p w14:paraId="3F5BD1DA" w14:textId="77777777" w:rsidR="00D02FB6" w:rsidRPr="00D02FB6" w:rsidRDefault="00D02FB6" w:rsidP="00D02FB6">
            <w:pPr>
              <w:pStyle w:val="NormalWeb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D02FB6">
              <w:rPr>
                <w:rFonts w:ascii="Arial" w:hAnsi="Arial" w:cs="Arial"/>
              </w:rPr>
              <w:t>Alcanzar impacto regional a través de colaboración con docentes y comunidades estudiantiles.</w:t>
            </w:r>
          </w:p>
          <w:p w14:paraId="1AF1B6C5" w14:textId="2263579F" w:rsidR="009C13CD" w:rsidRPr="00802FB7" w:rsidRDefault="009C13CD" w:rsidP="00802FB7"/>
        </w:tc>
      </w:tr>
      <w:tr w:rsidR="00317ADF" w:rsidRPr="00735701" w14:paraId="6E97570D" w14:textId="77777777" w:rsidTr="00421310">
        <w:tc>
          <w:tcPr>
            <w:tcW w:w="10915" w:type="dxa"/>
          </w:tcPr>
          <w:p w14:paraId="78F1C81F" w14:textId="6E501398" w:rsidR="009C13CD" w:rsidRPr="00317ADF" w:rsidRDefault="009C13CD" w:rsidP="00920673">
            <w:pPr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</w:pP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t>10.6.-La forma de evaluación (lista de cotejo)</w:t>
            </w:r>
          </w:p>
        </w:tc>
      </w:tr>
      <w:tr w:rsidR="00317ADF" w:rsidRPr="00735701" w14:paraId="352D1AA4" w14:textId="77777777" w:rsidTr="007F5FA6">
        <w:tc>
          <w:tcPr>
            <w:tcW w:w="10915" w:type="dxa"/>
          </w:tcPr>
          <w:p w14:paraId="20D20C43" w14:textId="33B67528" w:rsidR="009C13CD" w:rsidRPr="00317ADF" w:rsidRDefault="009C13CD" w:rsidP="00920673">
            <w:pPr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</w:pPr>
            <w:r w:rsidRPr="00317ADF">
              <w:rPr>
                <w:rFonts w:ascii="Arial" w:hAnsi="Arial" w:cs="Arial"/>
                <w:b/>
                <w:bCs/>
                <w:sz w:val="24"/>
                <w:szCs w:val="24"/>
              </w:rPr>
              <w:t>10.7.-Rúbrica para evaluar proyecto</w:t>
            </w:r>
          </w:p>
        </w:tc>
      </w:tr>
      <w:tr w:rsidR="00317ADF" w:rsidRPr="00735701" w14:paraId="53C476E9" w14:textId="77777777" w:rsidTr="0061546B">
        <w:tc>
          <w:tcPr>
            <w:tcW w:w="10915" w:type="dxa"/>
          </w:tcPr>
          <w:p w14:paraId="24E18C8E" w14:textId="752CA8DA" w:rsidR="00842430" w:rsidRPr="00842430" w:rsidRDefault="00842430" w:rsidP="00842430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842430">
              <w:rPr>
                <w:rFonts w:ascii="Arial" w:hAnsi="Arial" w:cs="Arial"/>
                <w:b/>
                <w:bCs/>
              </w:rPr>
              <w:t>10.8.-Evaluación del plan de acción</w:t>
            </w:r>
          </w:p>
          <w:p w14:paraId="446A137C" w14:textId="77777777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A lo largo del desarrollo del proyecto, el equipo 4 fue cumpliendo con las actividades programadas según las fechas establecidas en el plan de acción. A continuación, se presenta una revisión detallada de cada una de ellas, describiendo cómo se desarrollaron y los ajustes que fueron necesarios durante el proceso.</w:t>
            </w:r>
          </w:p>
          <w:p w14:paraId="7CD659A5" w14:textId="77777777" w:rsidR="00FC574E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26 de agosto</w:t>
            </w:r>
          </w:p>
          <w:p w14:paraId="6AC59530" w14:textId="25244E23" w:rsidR="009C13CD" w:rsidRPr="00FC574E" w:rsidRDefault="00842430" w:rsidP="009C13CD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842430">
              <w:rPr>
                <w:rFonts w:ascii="Arial" w:hAnsi="Arial" w:cs="Arial"/>
              </w:rPr>
              <w:t>En esta fecha, el equipo dedicó la sesión a comprender el tema central del proyecto:</w:t>
            </w:r>
            <w:r>
              <w:rPr>
                <w:rFonts w:ascii="Arial" w:hAnsi="Arial" w:cs="Arial"/>
              </w:rPr>
              <w:t xml:space="preserve"> </w:t>
            </w:r>
            <w:r w:rsidRPr="00842430">
              <w:rPr>
                <w:rStyle w:val="nfasis"/>
                <w:rFonts w:ascii="Arial" w:hAnsi="Arial" w:cs="Arial"/>
                <w:i w:val="0"/>
                <w:iCs w:val="0"/>
              </w:rPr>
              <w:t>Introducción al estudio del derecho</w:t>
            </w:r>
            <w:r w:rsidRPr="00842430">
              <w:rPr>
                <w:rFonts w:ascii="Arial" w:hAnsi="Arial" w:cs="Arial"/>
                <w:i/>
                <w:iCs/>
              </w:rPr>
              <w:t>.</w:t>
            </w:r>
            <w:r w:rsidRPr="00842430">
              <w:rPr>
                <w:rFonts w:ascii="Arial" w:hAnsi="Arial" w:cs="Arial"/>
              </w:rPr>
              <w:t xml:space="preserve"> Se identificaron los conceptos principales, los temas conocidos y aquellos que requerían ampliación, lo cual permitió establecer un panorama general para iniciar con la creación de contenidos.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actividad se realizó sin contratiempos. Todas las integrantes aportaron ideas y se logró definir claramente cuáles serían los primeros temas a trabajar en las publicaciones.</w:t>
            </w:r>
          </w:p>
          <w:p w14:paraId="1066A718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28 de agosto</w:t>
            </w:r>
          </w:p>
          <w:p w14:paraId="0F48D7AD" w14:textId="6D9E98DB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llevó a cabo la distribución de responsabilidades para continuar con el proyecto. Cada integrante asumió un rol específico (investigación, diseño, redacción y monitoreo). Paralelamente, se continuó la recopilación de información referente al primer subtema.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dinámica funcionó adecuadamente. La distribución fue equilibrada y permitió que cada miembro aportara desde sus habilidades. El equipo mantuvo comunicación constante para alinear criterios.</w:t>
            </w:r>
          </w:p>
          <w:p w14:paraId="4B678D35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lastRenderedPageBreak/>
              <w:t>28 y 29 de agosto</w:t>
            </w:r>
          </w:p>
          <w:p w14:paraId="6C04BEC2" w14:textId="785AFD78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Durante estos días se avanzó en la elaboración de textos breves y ejemplos que formarían parte del material a publicar. El enfoque principal fue simplificar conceptos jurídicos sin perder precisión.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actividad se cumplió conforme al tiempo previsto. Se revisaron varias versiones del texto hasta lograr una redacción clara y entendible para el público general.</w:t>
            </w:r>
          </w:p>
          <w:p w14:paraId="11CFDCFD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4 de septiembre</w:t>
            </w:r>
          </w:p>
          <w:p w14:paraId="55E0545A" w14:textId="1D99492F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llevó a cabo una nueva ronda de ideas relacionada con la forma de presentar el contenido visual y se estableció formalmente el objetivo general del proyecto. Esta actividad permitió delimitar el estilo gráfico y tono comunicativo que se usarían en publicaciones futuras.</w:t>
            </w:r>
            <w:r>
              <w:rPr>
                <w:rFonts w:ascii="Arial" w:hAnsi="Arial" w:cs="Arial"/>
              </w:rPr>
              <w:br/>
            </w:r>
            <w:r w:rsidRPr="00842430">
              <w:rPr>
                <w:rFonts w:ascii="Arial" w:hAnsi="Arial" w:cs="Arial"/>
              </w:rPr>
              <w:t>Se alcanzaron acuerdos importantes que facilitaron la identidad visual del proyecto. Se definieron colores, tipografías y la estructura básica de los posts.</w:t>
            </w:r>
          </w:p>
          <w:p w14:paraId="2C6AA7A0" w14:textId="77777777" w:rsidR="00FC574E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 al 4 de septiembre</w:t>
            </w:r>
            <w:r w:rsidR="00FC574E">
              <w:rPr>
                <w:rStyle w:val="Textoennegrita"/>
                <w:rFonts w:ascii="Arial" w:hAnsi="Arial" w:cs="Arial"/>
              </w:rPr>
              <w:t xml:space="preserve"> </w:t>
            </w:r>
          </w:p>
          <w:p w14:paraId="05264472" w14:textId="3B7C58E2" w:rsidR="009C13CD" w:rsidRPr="00FC574E" w:rsidRDefault="00842430" w:rsidP="009C13CD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842430">
              <w:rPr>
                <w:rFonts w:ascii="Arial" w:hAnsi="Arial" w:cs="Arial"/>
              </w:rPr>
              <w:t xml:space="preserve">Comenzó el diseño de la primera publicación mediante la plataforma </w:t>
            </w:r>
            <w:proofErr w:type="spellStart"/>
            <w:r w:rsidRPr="00842430">
              <w:rPr>
                <w:rFonts w:ascii="Arial" w:hAnsi="Arial" w:cs="Arial"/>
              </w:rPr>
              <w:t>Canva</w:t>
            </w:r>
            <w:proofErr w:type="spellEnd"/>
            <w:r w:rsidRPr="00842430">
              <w:rPr>
                <w:rFonts w:ascii="Arial" w:hAnsi="Arial" w:cs="Arial"/>
              </w:rPr>
              <w:t>. Se realizaron pruebas de diseño para ajustar elementos visuales y se preparó el material gráfico final.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El diseño quedó concluido en tiempo. Únicamente fue necesario reajustar algunos tamaños de texto y colores para mejorar la visibilidad.</w:t>
            </w:r>
          </w:p>
          <w:p w14:paraId="49A3F654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 al 7 de septiembre</w:t>
            </w:r>
          </w:p>
          <w:p w14:paraId="6685619B" w14:textId="7F1A877D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efectuó la primera publicación del proyecto en la página “Tu espacio jurídico”, correspondiente al tema “Concepto de Derecho”. Posteriormente, se monitoreó la respuesta de los usuarios.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publicación tuvo buen recibimiento. Esto permitió analizar qué estilo visual resultaba más atractivo y qué tipo de ejemplos generaban mayor claridad entre los lectores.</w:t>
            </w:r>
          </w:p>
          <w:p w14:paraId="275D0F4D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9 al 14 de septiembre</w:t>
            </w:r>
          </w:p>
          <w:p w14:paraId="6880C7FF" w14:textId="4767B5B6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desarrolló y compartió la segunda publicación. Esta etapa incluyó ajustes en la redacción y diseño para mantener coherencia con la imagen visual previamente acordada.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El contenido se publicó en los plazos establecidos. Se observó mayor interacción cuando la imagen incluía ilustraciones y colores llamativos, por lo que el equipo decidió seguir esta línea visual.</w:t>
            </w:r>
          </w:p>
          <w:p w14:paraId="54D2067E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9 y 10 de septiembre</w:t>
            </w:r>
          </w:p>
          <w:p w14:paraId="73565588" w14:textId="195E8953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investigó información correspondiente a la clasificación del Derecho. Se seleccionaron los elementos más relevantes para su explicación.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información recopilada fue apropiada y permitió organizar la tercera publicación con claridad.</w:t>
            </w:r>
          </w:p>
          <w:p w14:paraId="69BAE234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11 al 14 de septiembre</w:t>
            </w:r>
          </w:p>
          <w:p w14:paraId="5CC94985" w14:textId="1EDF573F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diseñó el material visual y textual para la tercera publicación, integrando definiciones, ejemplos y elementos gráficos.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actividad se completó sin dificultades. El equipo consideró que la presentación fue clara y adecuada para quienes desconocen el tema.</w:t>
            </w:r>
          </w:p>
          <w:p w14:paraId="64F51449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16 al 18 de septiembre</w:t>
            </w:r>
          </w:p>
          <w:p w14:paraId="0EBF63C4" w14:textId="44FD257E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lastRenderedPageBreak/>
              <w:t>Se realizó la cuarta publicación, ampliando el contenido relacionado con la clasificación del Derecho para reforzar conceptos previos.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El material se publicó tal como estaba programado. La ampliación del tema permitió aclarar dudas comunes entre los lectores.</w:t>
            </w:r>
          </w:p>
          <w:p w14:paraId="16986F0D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23 y 24 de septiembre</w:t>
            </w:r>
          </w:p>
          <w:p w14:paraId="54AA9A83" w14:textId="54A5DE89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inició la investigación del proceso legislativo mexicano, identificando las etapas esenciales.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A pesar de ser un tema extenso, se logró sintetizar la información en puntos clave que facilitaron su comprensión.</w:t>
            </w:r>
          </w:p>
          <w:p w14:paraId="044B3E72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25 de septiembre</w:t>
            </w:r>
          </w:p>
          <w:p w14:paraId="05B204E3" w14:textId="78ABF341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revisó la información obtenida sobre el proceso legislativo, estructurando la explicación que se presentaría en la siguiente publicación.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revisión permitió eliminar conceptos complejos y mantener un lenguaje accesible.</w:t>
            </w:r>
          </w:p>
          <w:p w14:paraId="4D88651A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25 al 29 de septiembre</w:t>
            </w:r>
          </w:p>
          <w:p w14:paraId="7F61182C" w14:textId="4EA6B18A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elaboró el diseño del post correspondiente al proceso legislativo, integrando un esquema visual para facilitar el entendimiento del tema.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publicación fue clara y visualmente ordenada. Fue necesario ajustar el diseño gráfico para que cada etapa del proceso legislativo se entendiera sin saturación visual.</w:t>
            </w:r>
          </w:p>
          <w:p w14:paraId="3D43BCD7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2 al 5 de octubre</w:t>
            </w:r>
          </w:p>
          <w:p w14:paraId="67544909" w14:textId="4EFE3CE4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creó otra publicación, siguiendo la misma línea gráfica establecida en etapas anteriores.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tarea se completó sin inconvenientes. Se mantuvo la estructura visual que favorecía la lectura.</w:t>
            </w:r>
          </w:p>
          <w:p w14:paraId="41BF5017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7 y 8 de octubre</w:t>
            </w:r>
          </w:p>
          <w:p w14:paraId="3BB9A1BE" w14:textId="71268884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investigaron las fuentes del Derecho consultando diversas referencias académicas y fuentes digitales confiables.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Se obtuvo información precisa y accesible que permitió redactar el contenido de forma clara.</w:t>
            </w:r>
          </w:p>
          <w:p w14:paraId="443A464A" w14:textId="77777777" w:rsidR="009C13CD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9 de octubre</w:t>
            </w:r>
          </w:p>
          <w:p w14:paraId="45D2C255" w14:textId="12E19C79" w:rsidR="009C13CD" w:rsidRDefault="00842430" w:rsidP="009C13CD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Se organizó el contenido de las fuentes del Derecho, revisando definiciones y seleccionando la estructura final del post.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revisión fue rápida y se logró priorizar los conceptos más útiles para el público.</w:t>
            </w:r>
          </w:p>
          <w:p w14:paraId="7CEBB4C1" w14:textId="77777777" w:rsidR="00FC574E" w:rsidRDefault="00842430" w:rsidP="009C13CD">
            <w:pPr>
              <w:pStyle w:val="NormalWeb"/>
              <w:rPr>
                <w:rStyle w:val="Textoennegrita"/>
                <w:rFonts w:ascii="Arial" w:hAnsi="Arial" w:cs="Arial"/>
              </w:rPr>
            </w:pPr>
            <w:r w:rsidRPr="00842430">
              <w:rPr>
                <w:rStyle w:val="Textoennegrita"/>
                <w:rFonts w:ascii="Arial" w:hAnsi="Arial" w:cs="Arial"/>
              </w:rPr>
              <w:t>9 al 12 de octubre</w:t>
            </w:r>
          </w:p>
          <w:p w14:paraId="4041D0E7" w14:textId="26FE1801" w:rsidR="00842430" w:rsidRPr="00FC574E" w:rsidRDefault="00842430" w:rsidP="009C13CD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842430">
              <w:rPr>
                <w:rFonts w:ascii="Arial" w:hAnsi="Arial" w:cs="Arial"/>
              </w:rPr>
              <w:t>Se diseñó la publicación referente a las fuentes del Derecho.</w:t>
            </w:r>
            <w:r w:rsidR="00FC574E">
              <w:rPr>
                <w:rFonts w:ascii="Arial" w:hAnsi="Arial" w:cs="Arial"/>
              </w:rPr>
              <w:t xml:space="preserve"> </w:t>
            </w:r>
            <w:r w:rsidRPr="00842430">
              <w:rPr>
                <w:rFonts w:ascii="Arial" w:hAnsi="Arial" w:cs="Arial"/>
              </w:rPr>
              <w:t>La publicación quedó bien estructurada y generó una buena respuesta al ser compartida.</w:t>
            </w:r>
          </w:p>
          <w:p w14:paraId="7710C6EC" w14:textId="71F14645" w:rsidR="00842430" w:rsidRDefault="00842430" w:rsidP="00842430">
            <w:pPr>
              <w:pStyle w:val="Ttulo3"/>
              <w:outlineLvl w:val="2"/>
              <w:rPr>
                <w:rStyle w:val="Textoennegrita"/>
                <w:rFonts w:ascii="Arial" w:hAnsi="Arial" w:cs="Arial"/>
                <w:color w:val="auto"/>
              </w:rPr>
            </w:pPr>
            <w:r w:rsidRPr="00842430">
              <w:rPr>
                <w:rStyle w:val="Textoennegrita"/>
                <w:rFonts w:ascii="Arial" w:hAnsi="Arial" w:cs="Arial"/>
                <w:color w:val="auto"/>
              </w:rPr>
              <w:t>14 al 16 de octubre</w:t>
            </w:r>
          </w:p>
          <w:p w14:paraId="5021AA38" w14:textId="77777777" w:rsidR="00FC574E" w:rsidRPr="00FC574E" w:rsidRDefault="00FC574E" w:rsidP="00FC574E"/>
          <w:p w14:paraId="18F2D0E3" w14:textId="77777777" w:rsid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lastRenderedPageBreak/>
              <w:t>Se investigó el tema de las normas jurídicas, distinguiendo sus tipos y características principales.</w:t>
            </w:r>
          </w:p>
          <w:p w14:paraId="78496708" w14:textId="740D1FC8" w:rsidR="00842430" w:rsidRP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La información recopilada fue suficiente para elaborar una explicación sencilla y útil.</w:t>
            </w:r>
          </w:p>
          <w:p w14:paraId="58A69453" w14:textId="42BDD411" w:rsidR="00842430" w:rsidRDefault="00842430" w:rsidP="00842430">
            <w:pPr>
              <w:pStyle w:val="Ttulo3"/>
              <w:outlineLvl w:val="2"/>
              <w:rPr>
                <w:rStyle w:val="Textoennegrita"/>
                <w:rFonts w:ascii="Arial" w:hAnsi="Arial" w:cs="Arial"/>
                <w:color w:val="auto"/>
              </w:rPr>
            </w:pPr>
            <w:r w:rsidRPr="00842430">
              <w:rPr>
                <w:rStyle w:val="Textoennegrita"/>
                <w:rFonts w:ascii="Arial" w:hAnsi="Arial" w:cs="Arial"/>
                <w:color w:val="auto"/>
              </w:rPr>
              <w:t>16 de octubre</w:t>
            </w:r>
          </w:p>
          <w:p w14:paraId="077D6DFD" w14:textId="77777777" w:rsidR="00FC574E" w:rsidRPr="00FC574E" w:rsidRDefault="00FC574E" w:rsidP="00FC574E"/>
          <w:p w14:paraId="56AA477F" w14:textId="77777777" w:rsid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Se revisó la información sobre las normas jurídicas y se preparó el esquema base del post.</w:t>
            </w:r>
          </w:p>
          <w:p w14:paraId="71864484" w14:textId="5D85B537" w:rsidR="00842430" w:rsidRP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Se realizaron pequeños ajustes para evitar confusiones con términos técnicos.</w:t>
            </w:r>
          </w:p>
          <w:p w14:paraId="4DC562DD" w14:textId="2AC0C23A" w:rsidR="00842430" w:rsidRDefault="00842430" w:rsidP="00842430">
            <w:pPr>
              <w:pStyle w:val="Ttulo3"/>
              <w:outlineLvl w:val="2"/>
              <w:rPr>
                <w:rStyle w:val="Textoennegrita"/>
                <w:rFonts w:ascii="Arial" w:hAnsi="Arial" w:cs="Arial"/>
                <w:color w:val="auto"/>
              </w:rPr>
            </w:pPr>
            <w:r w:rsidRPr="00842430">
              <w:rPr>
                <w:rStyle w:val="Textoennegrita"/>
                <w:rFonts w:ascii="Arial" w:hAnsi="Arial" w:cs="Arial"/>
                <w:color w:val="auto"/>
              </w:rPr>
              <w:t>17 al 21 de octubre</w:t>
            </w:r>
          </w:p>
          <w:p w14:paraId="3FE802BD" w14:textId="77777777" w:rsidR="00FC574E" w:rsidRPr="00FC574E" w:rsidRDefault="00FC574E" w:rsidP="00FC574E"/>
          <w:p w14:paraId="661605A6" w14:textId="77777777" w:rsid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Se diseñó la publicación referente a las normas jurídicas, procurando mantener coherencia visual.</w:t>
            </w:r>
          </w:p>
          <w:p w14:paraId="3D04C8F2" w14:textId="6F9B6491" w:rsidR="00FC574E" w:rsidRDefault="00842430" w:rsidP="00FC574E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La actividad fue finalizada en el tiempo programado y la publicación fue clara y comprensible.</w:t>
            </w:r>
          </w:p>
          <w:p w14:paraId="376DFBD9" w14:textId="77777777" w:rsidR="00FC574E" w:rsidRPr="00FC574E" w:rsidRDefault="00FC574E" w:rsidP="00FC574E"/>
          <w:p w14:paraId="1E5ECB67" w14:textId="46F7CFBC" w:rsidR="00842430" w:rsidRDefault="00842430" w:rsidP="00842430">
            <w:pPr>
              <w:pStyle w:val="Ttulo3"/>
              <w:outlineLvl w:val="2"/>
              <w:rPr>
                <w:rStyle w:val="Textoennegrita"/>
                <w:rFonts w:ascii="Arial" w:hAnsi="Arial" w:cs="Arial"/>
                <w:color w:val="auto"/>
              </w:rPr>
            </w:pPr>
            <w:r w:rsidRPr="00842430">
              <w:rPr>
                <w:rStyle w:val="Textoennegrita"/>
                <w:rFonts w:ascii="Arial" w:hAnsi="Arial" w:cs="Arial"/>
                <w:color w:val="auto"/>
              </w:rPr>
              <w:t>28 de octubre al 4 de noviembre</w:t>
            </w:r>
          </w:p>
          <w:p w14:paraId="2BE9286E" w14:textId="77777777" w:rsidR="00FC574E" w:rsidRPr="00FC574E" w:rsidRDefault="00FC574E" w:rsidP="00FC574E"/>
          <w:p w14:paraId="6B6EE96C" w14:textId="77777777" w:rsid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Se investigó el tema de los sujetos del Derecho, incluyendo personas físicas, jurídicas, atributos y capacidad.</w:t>
            </w:r>
          </w:p>
          <w:p w14:paraId="10FB819B" w14:textId="1D0888A5" w:rsidR="00842430" w:rsidRP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Fonts w:ascii="Arial" w:hAnsi="Arial" w:cs="Arial"/>
                <w:color w:val="auto"/>
              </w:rPr>
              <w:t>Debido a la amplitud del tema, se decidió dividir la información para distribuirla en más de una publicación, lo que permitió presentarla de forma más ordenada y comprensible.</w:t>
            </w:r>
          </w:p>
          <w:p w14:paraId="1BA7C0F9" w14:textId="77777777" w:rsidR="00842430" w:rsidRPr="00842430" w:rsidRDefault="00842430" w:rsidP="00842430">
            <w:pPr>
              <w:pStyle w:val="Ttulo3"/>
              <w:outlineLvl w:val="2"/>
              <w:rPr>
                <w:rFonts w:ascii="Arial" w:hAnsi="Arial" w:cs="Arial"/>
                <w:color w:val="auto"/>
              </w:rPr>
            </w:pPr>
            <w:r w:rsidRPr="00842430">
              <w:rPr>
                <w:rStyle w:val="Textoennegrita"/>
                <w:rFonts w:ascii="Arial" w:hAnsi="Arial" w:cs="Arial"/>
                <w:b w:val="0"/>
                <w:bCs w:val="0"/>
                <w:color w:val="auto"/>
              </w:rPr>
              <w:t>Conclusión general</w:t>
            </w:r>
          </w:p>
          <w:p w14:paraId="0DA2C3A3" w14:textId="77777777" w:rsidR="00842430" w:rsidRPr="00842430" w:rsidRDefault="00842430" w:rsidP="00842430">
            <w:pPr>
              <w:pStyle w:val="NormalWeb"/>
              <w:rPr>
                <w:rFonts w:ascii="Arial" w:hAnsi="Arial" w:cs="Arial"/>
              </w:rPr>
            </w:pPr>
            <w:r w:rsidRPr="00842430">
              <w:rPr>
                <w:rFonts w:ascii="Arial" w:hAnsi="Arial" w:cs="Arial"/>
              </w:rPr>
              <w:t>En términos generales, el equipo cumplió con el calendario establecido. Los ajustes que se realizaron fueron únicamente para mejorar la claridad del contenido o adaptar la información a un formato visual más adecuado. La participación del equipo fue constante, colaborativa y comprometida, lo que permitió avanzar de forma organizada hasta completar la fase de desarrollo del proyecto.</w:t>
            </w:r>
          </w:p>
          <w:p w14:paraId="7742ABC4" w14:textId="0D91A9D5" w:rsidR="0004437D" w:rsidRPr="00842430" w:rsidRDefault="0004437D" w:rsidP="0004437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7ADF" w:rsidRPr="00735701" w14:paraId="2FF4093F" w14:textId="77777777" w:rsidTr="0061546B">
        <w:tc>
          <w:tcPr>
            <w:tcW w:w="10915" w:type="dxa"/>
          </w:tcPr>
          <w:p w14:paraId="2C2601E0" w14:textId="4922ACB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46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10.9.-La bibliografía consultada</w:t>
            </w:r>
          </w:p>
          <w:p w14:paraId="57BBAA56" w14:textId="3F4744C5" w:rsidR="0061546B" w:rsidRPr="0061546B" w:rsidRDefault="0061546B" w:rsidP="006154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Aranda Zamacona, G. (2022, 4 de noviembre). Etapas del proceso legislativo mexicano. lexgradibus.com. </w:t>
            </w:r>
            <w:hyperlink r:id="rId21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https://lexgradibus.com/etapas-del-proceso-legislativo-mexicano/</w:t>
              </w:r>
            </w:hyperlink>
          </w:p>
          <w:p w14:paraId="55828C6B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Estudios Jurídicos. (s.f.). INTRODUCCION AL DERECHO. </w:t>
            </w:r>
            <w:hyperlink r:id="rId22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https://estudiosjuridicos.wordpress.com/introduccion-al-derecho/</w:t>
              </w:r>
            </w:hyperlink>
          </w:p>
          <w:p w14:paraId="0C51C349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Wiki Derecho. (s.f.). Derecho Civil: Sujetos, Atributos de la Personalidad y Clasificación de Bienes. Recuperado de </w:t>
            </w:r>
            <w:hyperlink r:id="rId23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https://www.wikiderecho.net/derecho-civil-sujetos-atributos-de-la-personalidad-y-clasificacion-de-bienes/</w:t>
              </w:r>
            </w:hyperlink>
          </w:p>
          <w:p w14:paraId="37BD75E7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>Universidad Autónoma del Estado de México. (s.f.). Introducción al estudio del derecho. Seduca.</w:t>
            </w:r>
            <w:hyperlink r:id="rId24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https://www.seduca.uaemex.mx/descargas/contenido/6279/1/49371_U1T1A1RL1_INTRo.pdf</w:t>
              </w:r>
            </w:hyperlink>
          </w:p>
          <w:p w14:paraId="7A60E319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Universidad Nacional Autónoma de México (UNAM). (s.f.). Capítulo 5. Libro 3915 de la Biblioteca Jurídica Virtual [Archivo PDF]. Instituto de Investigaciones Jurídicas, UNAM. Recuperado de </w:t>
            </w:r>
            <w:hyperlink r:id="rId25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https://archivos.juridicas.unam.mx/www/bjv/libros/8/3915/5.pdf</w:t>
              </w:r>
            </w:hyperlink>
          </w:p>
          <w:p w14:paraId="71F54185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Clasificación de. (s.f.). Clasificación de las normas. </w:t>
            </w:r>
            <w:hyperlink r:id="rId26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https://www.clasificacionde.org/clasificacion-de-las-normas/</w:t>
              </w:r>
            </w:hyperlink>
          </w:p>
          <w:p w14:paraId="68DF8CDE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Salazar Lara, M. (2024, 11 de septiembre). Proceso legislativo en México: etapas y creación de leyes. Soy Conta. </w:t>
            </w:r>
            <w:hyperlink r:id="rId27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https://www.soyconta.com/proceso-legislativo-en-mexico-para-la-creacion-de-una-ley/</w:t>
              </w:r>
            </w:hyperlink>
          </w:p>
          <w:p w14:paraId="632BFCBC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Licenciatura en Derecho (LIDE). (2024, 6 de junio). Introducción al Derecho: Conceptos fundamentales. Licenciatura en Derecho. </w:t>
            </w:r>
            <w:hyperlink r:id="rId28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https://licenciaturaderecho.com/introduccion-al-derecho/</w:t>
              </w:r>
            </w:hyperlink>
          </w:p>
          <w:p w14:paraId="298B9B34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La Escuela y los Juicios. (s.f.). Guía Completa de Introducción al Derecho: Todo lo que Necesitas Saber. </w:t>
            </w:r>
            <w:hyperlink r:id="rId29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https://laescuelaylosjuicios.com/introduccion-al-derecho/</w:t>
              </w:r>
            </w:hyperlink>
          </w:p>
          <w:p w14:paraId="6BCDEABC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Villanueva </w:t>
            </w:r>
            <w:proofErr w:type="spellStart"/>
            <w:r w:rsidRPr="0061546B">
              <w:rPr>
                <w:rFonts w:ascii="Times New Roman" w:hAnsi="Times New Roman" w:cs="Times New Roman"/>
                <w:sz w:val="24"/>
                <w:szCs w:val="24"/>
              </w:rPr>
              <w:t>Narvaez</w:t>
            </w:r>
            <w:proofErr w:type="spellEnd"/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, V. Y. (2021, August 3). Clasificación del Derecho. CUDH. </w:t>
            </w:r>
            <w:hyperlink r:id="rId30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https://cudh.edu.mx/wp-content/uploads/assignments/16802/190/CLASIFICACION-DEL-DERECHO.pdf</w:t>
              </w:r>
            </w:hyperlink>
          </w:p>
          <w:p w14:paraId="55B32E20" w14:textId="77777777" w:rsidR="0061546B" w:rsidRPr="0061546B" w:rsidRDefault="0061546B" w:rsidP="00615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Licenciatura en Derecho. (2024, 6 de junio). Introducción al Derecho: Conceptos fundamentales. </w:t>
            </w:r>
            <w:hyperlink r:id="rId31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https://licenciaturaderecho.com/introduccion-al-derecho/</w:t>
              </w:r>
            </w:hyperlink>
          </w:p>
          <w:p w14:paraId="70881755" w14:textId="55FD56F8" w:rsidR="0061546B" w:rsidRPr="0061546B" w:rsidRDefault="0061546B" w:rsidP="0061546B">
            <w:pPr>
              <w:spacing w:after="160" w:line="25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s-ES"/>
              </w:rPr>
            </w:pPr>
            <w:r w:rsidRPr="0061546B">
              <w:rPr>
                <w:rFonts w:ascii="Times New Roman" w:hAnsi="Times New Roman" w:cs="Times New Roman"/>
                <w:sz w:val="24"/>
                <w:szCs w:val="24"/>
              </w:rPr>
              <w:t xml:space="preserve">López Elías Finanzas Públicas. (2025, 9 de julio). Proceso Legislativo en el Estado Mexicano. </w:t>
            </w:r>
            <w:hyperlink r:id="rId32" w:history="1">
              <w:r w:rsidRPr="0061546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https://lopezelias.mx/2025/07/09/proceso-legislativo-en-el-estado-mexicano/</w:t>
              </w:r>
            </w:hyperlink>
          </w:p>
        </w:tc>
      </w:tr>
    </w:tbl>
    <w:p w14:paraId="04B2ECE3" w14:textId="77777777" w:rsidR="00785747" w:rsidRDefault="00785747"/>
    <w:sectPr w:rsidR="00785747" w:rsidSect="006154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D70D8"/>
    <w:multiLevelType w:val="multilevel"/>
    <w:tmpl w:val="D0C2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63C5F"/>
    <w:multiLevelType w:val="multilevel"/>
    <w:tmpl w:val="FFFFFFFF"/>
    <w:lvl w:ilvl="0">
      <w:start w:val="1"/>
      <w:numFmt w:val="decimal"/>
      <w:lvlText w:val="%1."/>
      <w:lvlJc w:val="left"/>
      <w:pPr>
        <w:ind w:left="468" w:hanging="46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12BE3CF6"/>
    <w:multiLevelType w:val="multilevel"/>
    <w:tmpl w:val="D4D0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0E488F"/>
    <w:multiLevelType w:val="multilevel"/>
    <w:tmpl w:val="B94C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6564F"/>
    <w:multiLevelType w:val="multilevel"/>
    <w:tmpl w:val="CF1C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1F"/>
    <w:rsid w:val="0004437D"/>
    <w:rsid w:val="001A7341"/>
    <w:rsid w:val="00211A82"/>
    <w:rsid w:val="00317ADF"/>
    <w:rsid w:val="003C7857"/>
    <w:rsid w:val="0061546B"/>
    <w:rsid w:val="006C3E8C"/>
    <w:rsid w:val="00746A1F"/>
    <w:rsid w:val="00785747"/>
    <w:rsid w:val="00802FB7"/>
    <w:rsid w:val="00842430"/>
    <w:rsid w:val="009C13CD"/>
    <w:rsid w:val="00C03663"/>
    <w:rsid w:val="00D02FB6"/>
    <w:rsid w:val="00F47D80"/>
    <w:rsid w:val="00F908ED"/>
    <w:rsid w:val="00FC574E"/>
    <w:rsid w:val="00FD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B47A1A"/>
  <w15:chartTrackingRefBased/>
  <w15:docId w15:val="{84DA9451-8244-4E6F-8BFB-01039F76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A1F"/>
    <w:pPr>
      <w:spacing w:after="200" w:line="276" w:lineRule="auto"/>
    </w:pPr>
    <w:rPr>
      <w:rFonts w:eastAsiaTheme="minorEastAsia"/>
      <w:lang w:val="es-MX" w:eastAsia="es-MX"/>
    </w:rPr>
  </w:style>
  <w:style w:type="paragraph" w:styleId="Ttulo2">
    <w:name w:val="heading 2"/>
    <w:basedOn w:val="Normal"/>
    <w:link w:val="Ttulo2Car"/>
    <w:uiPriority w:val="9"/>
    <w:qFormat/>
    <w:rsid w:val="00746A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419" w:eastAsia="es-419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78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6A1F"/>
    <w:pPr>
      <w:spacing w:after="0" w:line="240" w:lineRule="auto"/>
    </w:pPr>
    <w:rPr>
      <w:rFonts w:eastAsiaTheme="minorEastAsia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46A1F"/>
    <w:rPr>
      <w:rFonts w:ascii="Times New Roman" w:eastAsia="Times New Roman" w:hAnsi="Times New Roman" w:cs="Times New Roman"/>
      <w:b/>
      <w:bCs/>
      <w:sz w:val="36"/>
      <w:szCs w:val="36"/>
      <w:lang w:eastAsia="es-419"/>
    </w:rPr>
  </w:style>
  <w:style w:type="character" w:styleId="Textoennegrita">
    <w:name w:val="Strong"/>
    <w:basedOn w:val="Fuentedeprrafopredeter"/>
    <w:uiPriority w:val="22"/>
    <w:qFormat/>
    <w:rsid w:val="00746A1F"/>
    <w:rPr>
      <w:b/>
      <w:bCs/>
    </w:rPr>
  </w:style>
  <w:style w:type="paragraph" w:styleId="NormalWeb">
    <w:name w:val="Normal (Web)"/>
    <w:basedOn w:val="Normal"/>
    <w:uiPriority w:val="99"/>
    <w:unhideWhenUsed/>
    <w:rsid w:val="00746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character" w:customStyle="1" w:styleId="Ttulo3Car">
    <w:name w:val="Título 3 Car"/>
    <w:basedOn w:val="Fuentedeprrafopredeter"/>
    <w:link w:val="Ttulo3"/>
    <w:uiPriority w:val="9"/>
    <w:rsid w:val="003C78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84243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1546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1A82"/>
    <w:pPr>
      <w:spacing w:after="160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tabasco.gob.mx/bienestar/convocatorias" TargetMode="External"/><Relationship Id="rId26" Type="http://schemas.openxmlformats.org/officeDocument/2006/relationships/hyperlink" Target="https://www.clasificacionde.org/clasificacion-de-las-norma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xgradibus.com/etapas-del-proceso-legislativo-mexicano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tabasco.gob.mx/fidetab" TargetMode="External"/><Relationship Id="rId25" Type="http://schemas.openxmlformats.org/officeDocument/2006/relationships/hyperlink" Target="https://archivos.juridicas.unam.mx/www/bjv/libros/8/3915/5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abasco.gob.mx/injutab" TargetMode="External"/><Relationship Id="rId20" Type="http://schemas.openxmlformats.org/officeDocument/2006/relationships/hyperlink" Target="https://www.gob.mx/jovenesconstruyendoelfuturo" TargetMode="External"/><Relationship Id="rId29" Type="http://schemas.openxmlformats.org/officeDocument/2006/relationships/hyperlink" Target="https://laescuelaylosjuicios.com/introduccion-al-derech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seduca.uaemex.mx/descargas/contenido/6279/1/49371_U1T1A1RL1_INTRo.pdf" TargetMode="External"/><Relationship Id="rId32" Type="http://schemas.openxmlformats.org/officeDocument/2006/relationships/hyperlink" Target="https://lopezelias.mx/2025/07/09/proceso-legislativo-en-el-estado-mexicano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abasco.gob.mx/iaet" TargetMode="External"/><Relationship Id="rId23" Type="http://schemas.openxmlformats.org/officeDocument/2006/relationships/hyperlink" Target="https://www.wikiderecho.net/derecho-civil-sujetos-atributos-de-la-personalidad-y-clasificacion-de-bienes/" TargetMode="External"/><Relationship Id="rId28" Type="http://schemas.openxmlformats.org/officeDocument/2006/relationships/hyperlink" Target="https://licenciaturaderecho.com/introduccion-al-derecho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gob.mx/se/acciones-y-programas/programas-de-apoyo-a-las-mipymes" TargetMode="External"/><Relationship Id="rId31" Type="http://schemas.openxmlformats.org/officeDocument/2006/relationships/hyperlink" Target="https://licenciaturaderecho.com/introduccion-al-derech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b.mx/becasbenitojuarez" TargetMode="External"/><Relationship Id="rId22" Type="http://schemas.openxmlformats.org/officeDocument/2006/relationships/hyperlink" Target="https://estudiosjuridicos.wordpress.com/introduccion-al-derecho/" TargetMode="External"/><Relationship Id="rId27" Type="http://schemas.openxmlformats.org/officeDocument/2006/relationships/hyperlink" Target="https://www.soyconta.com/proceso-legislativo-en-mexico-para-la-creacion-de-una-ley/" TargetMode="External"/><Relationship Id="rId30" Type="http://schemas.openxmlformats.org/officeDocument/2006/relationships/hyperlink" Target="https://cudh.edu.mx/wp-content/uploads/assignments/16802/190/CLASIFICACION-DEL-DERECHO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2383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251B40023 NANCY GUADALUPE VASCONCELOS LEÓN</dc:creator>
  <cp:keywords/>
  <dc:description/>
  <cp:lastModifiedBy>251B40023 NANCY GUADALUPE VASCONCELOS LEÓN</cp:lastModifiedBy>
  <cp:revision>2</cp:revision>
  <dcterms:created xsi:type="dcterms:W3CDTF">2025-11-28T00:35:00Z</dcterms:created>
  <dcterms:modified xsi:type="dcterms:W3CDTF">2025-11-28T00:35:00Z</dcterms:modified>
</cp:coreProperties>
</file>